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D3D" w:rsidRDefault="00AB7D3D" w:rsidP="00AB7D3D">
      <w:pPr>
        <w:pStyle w:val="a3"/>
        <w:shd w:val="clear" w:color="auto" w:fill="F4F5F9"/>
        <w:spacing w:before="0" w:beforeAutospacing="0" w:after="0" w:afterAutospacing="0" w:line="210" w:lineRule="atLeast"/>
        <w:jc w:val="center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b/>
          <w:bCs/>
          <w:color w:val="0D4981"/>
          <w:sz w:val="72"/>
          <w:szCs w:val="72"/>
        </w:rPr>
        <w:t>Микрозайм</w:t>
      </w:r>
      <w:proofErr w:type="spellEnd"/>
      <w:r>
        <w:rPr>
          <w:b/>
          <w:bCs/>
          <w:color w:val="0D4981"/>
          <w:sz w:val="72"/>
          <w:szCs w:val="72"/>
        </w:rPr>
        <w:t xml:space="preserve"> для действующих субъектов малого и среднего предпринимательства "Торговля"</w:t>
      </w:r>
    </w:p>
    <w:p w:rsidR="00AB7D3D" w:rsidRDefault="00AB7D3D" w:rsidP="00AB7D3D">
      <w:pPr>
        <w:pStyle w:val="a3"/>
        <w:shd w:val="clear" w:color="auto" w:fill="E9EBF0"/>
        <w:spacing w:before="0" w:beforeAutospacing="0" w:after="0" w:afterAutospacing="0" w:line="448" w:lineRule="atLeast"/>
        <w:jc w:val="center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color w:val="333333"/>
          <w:sz w:val="36"/>
          <w:szCs w:val="36"/>
        </w:rPr>
        <w:t>Микрозайм</w:t>
      </w:r>
      <w:proofErr w:type="spellEnd"/>
      <w:r>
        <w:rPr>
          <w:color w:val="333333"/>
          <w:sz w:val="36"/>
          <w:szCs w:val="36"/>
        </w:rPr>
        <w:t xml:space="preserve"> для действующих субъектов малого и среднего предпринимательства</w:t>
      </w:r>
    </w:p>
    <w:p w:rsidR="00AB7D3D" w:rsidRDefault="00AB7D3D" w:rsidP="00AB7D3D">
      <w:pPr>
        <w:pStyle w:val="a3"/>
        <w:shd w:val="clear" w:color="auto" w:fill="DFE2E7"/>
        <w:spacing w:before="0" w:beforeAutospacing="0" w:after="0" w:afterAutospacing="0" w:line="448" w:lineRule="atLeast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D4981"/>
          <w:sz w:val="27"/>
          <w:szCs w:val="27"/>
        </w:rPr>
        <w:t>Сумма </w:t>
      </w:r>
      <w:proofErr w:type="spellStart"/>
      <w:r>
        <w:rPr>
          <w:color w:val="0D4981"/>
          <w:sz w:val="27"/>
          <w:szCs w:val="27"/>
        </w:rPr>
        <w:t>микрозайма</w:t>
      </w:r>
      <w:proofErr w:type="spellEnd"/>
      <w:r>
        <w:rPr>
          <w:color w:val="0D4981"/>
          <w:sz w:val="27"/>
          <w:szCs w:val="27"/>
        </w:rPr>
        <w:t>,</w:t>
      </w:r>
      <w:r>
        <w:rPr>
          <w:color w:val="0D4981"/>
          <w:sz w:val="27"/>
          <w:szCs w:val="27"/>
        </w:rPr>
        <w:br/>
      </w:r>
      <w:proofErr w:type="spellStart"/>
      <w:r>
        <w:rPr>
          <w:color w:val="0D4981"/>
          <w:sz w:val="27"/>
          <w:szCs w:val="27"/>
        </w:rPr>
        <w:t>тыс.руб</w:t>
      </w:r>
      <w:proofErr w:type="spellEnd"/>
      <w:r>
        <w:rPr>
          <w:color w:val="0D4981"/>
          <w:sz w:val="27"/>
          <w:szCs w:val="27"/>
        </w:rPr>
        <w:t>.</w:t>
      </w:r>
      <w:r>
        <w:rPr>
          <w:color w:val="0D4981"/>
          <w:sz w:val="27"/>
          <w:szCs w:val="27"/>
        </w:rPr>
        <w:br/>
      </w:r>
      <w:r>
        <w:rPr>
          <w:color w:val="0D4981"/>
          <w:sz w:val="72"/>
          <w:szCs w:val="72"/>
        </w:rPr>
        <w:t>100-5000</w:t>
      </w:r>
    </w:p>
    <w:p w:rsidR="00AB7D3D" w:rsidRDefault="00AB7D3D" w:rsidP="00AB7D3D">
      <w:pPr>
        <w:pStyle w:val="a3"/>
        <w:shd w:val="clear" w:color="auto" w:fill="DFE2E7"/>
        <w:spacing w:before="0" w:beforeAutospacing="0" w:after="0" w:afterAutospacing="0" w:line="448" w:lineRule="atLeast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D4981"/>
          <w:sz w:val="27"/>
          <w:szCs w:val="27"/>
        </w:rPr>
        <w:t>Ставка, % годовых</w:t>
      </w:r>
      <w:r>
        <w:rPr>
          <w:color w:val="0D4981"/>
          <w:sz w:val="27"/>
          <w:szCs w:val="27"/>
        </w:rPr>
        <w:br/>
      </w:r>
      <w:r>
        <w:rPr>
          <w:color w:val="0D4981"/>
          <w:sz w:val="72"/>
          <w:szCs w:val="72"/>
        </w:rPr>
        <w:t>9,5</w:t>
      </w:r>
    </w:p>
    <w:p w:rsidR="00AB7D3D" w:rsidRDefault="00AB7D3D" w:rsidP="00AB7D3D">
      <w:pPr>
        <w:pStyle w:val="a3"/>
        <w:shd w:val="clear" w:color="auto" w:fill="DFE2E7"/>
        <w:spacing w:before="0" w:beforeAutospacing="0" w:after="0" w:afterAutospacing="0" w:line="448" w:lineRule="atLeast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D4981"/>
          <w:sz w:val="27"/>
          <w:szCs w:val="27"/>
        </w:rPr>
        <w:t>Срок, мес.</w:t>
      </w:r>
      <w:r>
        <w:rPr>
          <w:color w:val="0D4981"/>
          <w:sz w:val="27"/>
          <w:szCs w:val="27"/>
        </w:rPr>
        <w:br/>
      </w:r>
      <w:r>
        <w:rPr>
          <w:color w:val="0D4981"/>
          <w:sz w:val="72"/>
          <w:szCs w:val="72"/>
        </w:rPr>
        <w:t>3-24</w:t>
      </w:r>
    </w:p>
    <w:p w:rsidR="00AB7D3D" w:rsidRDefault="00AB7D3D" w:rsidP="00AB7D3D">
      <w:pPr>
        <w:pStyle w:val="a3"/>
        <w:shd w:val="clear" w:color="auto" w:fill="E9EBF0"/>
        <w:spacing w:before="0" w:beforeAutospacing="0" w:after="0" w:afterAutospacing="0" w:line="748" w:lineRule="atLeast"/>
        <w:jc w:val="center"/>
        <w:rPr>
          <w:rFonts w:ascii="Helvetica" w:hAnsi="Helvetica" w:cs="Helvetica"/>
          <w:color w:val="333333"/>
          <w:sz w:val="21"/>
          <w:szCs w:val="21"/>
        </w:rPr>
      </w:pPr>
      <w:hyperlink r:id="rId5" w:history="1">
        <w:r>
          <w:rPr>
            <w:rStyle w:val="a4"/>
            <w:b/>
            <w:bCs/>
            <w:color w:val="FFFFFF"/>
          </w:rPr>
          <w:t>Кредитный калькулятор</w:t>
        </w:r>
      </w:hyperlink>
      <w:r>
        <w:rPr>
          <w:rStyle w:val="a5"/>
          <w:color w:val="333333"/>
          <w:sz w:val="36"/>
          <w:szCs w:val="36"/>
        </w:rPr>
        <w:t>     </w:t>
      </w:r>
      <w:hyperlink r:id="rId6" w:history="1">
        <w:r>
          <w:rPr>
            <w:rStyle w:val="a4"/>
            <w:b/>
            <w:bCs/>
            <w:color w:val="FFFFFF"/>
          </w:rPr>
          <w:t>Заявка на консультацию</w:t>
        </w:r>
      </w:hyperlink>
    </w:p>
    <w:p w:rsidR="00AB7D3D" w:rsidRDefault="00AB7D3D" w:rsidP="00AB7D3D">
      <w:pPr>
        <w:pStyle w:val="a3"/>
        <w:shd w:val="clear" w:color="auto" w:fill="F4F5F9"/>
        <w:spacing w:before="0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 xml:space="preserve">18.1. Условия предоставления </w:t>
      </w:r>
      <w:proofErr w:type="spellStart"/>
      <w:r>
        <w:rPr>
          <w:color w:val="333333"/>
          <w:sz w:val="36"/>
          <w:szCs w:val="36"/>
        </w:rPr>
        <w:t>Микрозайма</w:t>
      </w:r>
      <w:proofErr w:type="spellEnd"/>
      <w:r>
        <w:rPr>
          <w:color w:val="333333"/>
          <w:sz w:val="36"/>
          <w:szCs w:val="36"/>
        </w:rPr>
        <w:t xml:space="preserve"> для действующих субъектов малого и среднего предпринимательства: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 xml:space="preserve">18.1.1 Получателями </w:t>
      </w:r>
      <w:proofErr w:type="spellStart"/>
      <w:r>
        <w:rPr>
          <w:color w:val="333333"/>
          <w:sz w:val="36"/>
          <w:szCs w:val="36"/>
        </w:rPr>
        <w:t>Микрозайма</w:t>
      </w:r>
      <w:proofErr w:type="spellEnd"/>
      <w:r>
        <w:rPr>
          <w:color w:val="333333"/>
          <w:sz w:val="36"/>
          <w:szCs w:val="36"/>
        </w:rPr>
        <w:t xml:space="preserve"> являются субъекты малого и среднего предпринимательства, осуществляющие деятельность в сфере торговли.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18.1.2. На момент обращения с Заявлением Заявителю (ь):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lastRenderedPageBreak/>
        <w:t>- необходимо быть зарегистрированным в налоговом органе на территории Краснодарского края в установленном законом порядке в качестве юридического лица или физического лица, осуществляющего предпринимательскую деятельность без образования юридического лица (поставленным на учет в налоговом органе на территории Краснодарского края);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- обязан осуществлять предпринимательскую (хозяйственную) деятельность не менее 6 (шести) месяцев по состоянию на дату подачи (регистрации) Заявления;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- для получения денежных средств, необходимо наличие действующего расчетного счета в кредитной организации;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 xml:space="preserve">- в случае обращения о предоставлении </w:t>
      </w:r>
      <w:proofErr w:type="spellStart"/>
      <w:r>
        <w:rPr>
          <w:color w:val="333333"/>
          <w:sz w:val="36"/>
          <w:szCs w:val="36"/>
        </w:rPr>
        <w:t>Микрозайма</w:t>
      </w:r>
      <w:proofErr w:type="spellEnd"/>
      <w:r>
        <w:rPr>
          <w:color w:val="333333"/>
          <w:sz w:val="36"/>
          <w:szCs w:val="36"/>
        </w:rPr>
        <w:t xml:space="preserve"> для обеспечения исполнения государственного или муниципального контракта, должен предоставить заверенный им протокол подведения итогов аукциона/конкурса.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 xml:space="preserve">18.2. </w:t>
      </w:r>
      <w:proofErr w:type="spellStart"/>
      <w:r>
        <w:rPr>
          <w:color w:val="333333"/>
          <w:sz w:val="36"/>
          <w:szCs w:val="36"/>
        </w:rPr>
        <w:t>Микрозайм</w:t>
      </w:r>
      <w:proofErr w:type="spellEnd"/>
      <w:r>
        <w:rPr>
          <w:color w:val="333333"/>
          <w:sz w:val="36"/>
          <w:szCs w:val="36"/>
        </w:rPr>
        <w:t xml:space="preserve"> предоставляется в целях: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color w:val="333333"/>
          <w:sz w:val="36"/>
          <w:szCs w:val="36"/>
        </w:rPr>
        <w:t>Микрозайм</w:t>
      </w:r>
      <w:proofErr w:type="spellEnd"/>
      <w:r>
        <w:rPr>
          <w:color w:val="333333"/>
          <w:sz w:val="36"/>
          <w:szCs w:val="36"/>
        </w:rPr>
        <w:t xml:space="preserve"> предоставляется в целях: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Приобретение оборотных средств (материально-производственных запасов со сроком полезного использования до 12 месяцев (в соответствии с ФСБУ 5/2019 «Запасы»), в том числе: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 xml:space="preserve">- сырья и полуфабрикатов для производства, горюче-смазочных материалов (не для последующей продажи), запасных частей и </w:t>
      </w:r>
      <w:proofErr w:type="gramStart"/>
      <w:r>
        <w:rPr>
          <w:color w:val="333333"/>
          <w:sz w:val="36"/>
          <w:szCs w:val="36"/>
        </w:rPr>
        <w:t>материалов для ремонта техники</w:t>
      </w:r>
      <w:proofErr w:type="gramEnd"/>
      <w:r>
        <w:rPr>
          <w:color w:val="333333"/>
          <w:sz w:val="36"/>
          <w:szCs w:val="36"/>
        </w:rPr>
        <w:t xml:space="preserve"> и оборудования, используемых в производственном процессе;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lastRenderedPageBreak/>
        <w:t>- иных оборотных средств (материально-производственных запасов, со сроком полезного использования до 12 месяцев (в соответствии с ФСБУ 5/2019 «Запасы»), используемых для предпринимательской деятельности.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Приобретение основных средств, в том числе: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- производственного, технологического, торгового и офисного оборудования;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- автобусов, грузовых автомобилей грузоподъемностью от 900 кг, специальных и специализированных транспортных средств, прицепов и полуприцепов к ним для использования в предпринимательской деятельности, кроме легковых автомобилей, не относящихся к вышеперечисленным;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 xml:space="preserve">- техники, машин и оборудования для производства, хранения, переработки и транспортировки продукции (в </w:t>
      </w:r>
      <w:proofErr w:type="spellStart"/>
      <w:r>
        <w:rPr>
          <w:color w:val="333333"/>
          <w:sz w:val="36"/>
          <w:szCs w:val="36"/>
        </w:rPr>
        <w:t>т.ч</w:t>
      </w:r>
      <w:proofErr w:type="spellEnd"/>
      <w:r>
        <w:rPr>
          <w:color w:val="333333"/>
          <w:sz w:val="36"/>
          <w:szCs w:val="36"/>
        </w:rPr>
        <w:t xml:space="preserve"> легковых автомобилей с типом кузова «фургон» грузоподъемностью от 500 кг, легковых автомобилей с типом кузова «пикап», «бортовой» грузоподъемностью от 1000 кг).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- нежилых помещений, зданий (в том числе доли в праве собственности на эти объекты недвижимого имущества) и сооружений, используемых для предпринимательской деятельности;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- земель сельскохозяйственного назначения и земель с разрешенным использованием для строительства и/или эксплуатации объектов коммерческого назначения (в том числе доли в праве собственности на вышеуказанные земельные участки);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lastRenderedPageBreak/>
        <w:t>- иных основных средств, используемых для предпринимательской деятельности.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Приобретение имущества, не являющегося амортизируемым имуществом, стоимость которого включается в состав материальных расходов в течение более одного отчетного периода, с учетом срока его использования или иных экономически обоснованных показателей (подпункт 3 пункт 1 статьи 254 НК РФ).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Выплата по передаче прав на франшизу (паушальный взнос).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Обеспечения заявки на участие в конкурсе (аукционе), исполнения государственного или муниципального контракта.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Строительство, ремонт и реконструкция, в том числе: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- нежилых помещений, зданий и сооружений, используемых для предпринимательской деятельности;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color w:val="333333"/>
          <w:sz w:val="36"/>
          <w:szCs w:val="36"/>
        </w:rPr>
        <w:t>- приобретение строительных материалов для строительства, ремонта и реконструкции нежилых помещений, зданий и сооружений, используемых для предпринимательской деятельности;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- приобретение материалов, необходимых для благоустройства прилегающей территории к нежилым помещениям, зданиям и сооружениям, используемым для предпринимательской деятельности и оплата услуг по благоустройству;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 xml:space="preserve">- оплата работ, услуг и приобретение материалов, необходимых для организации внешних и внутренних инженерных систем в нежилых помещениях, зданиях и </w:t>
      </w:r>
      <w:r>
        <w:rPr>
          <w:color w:val="333333"/>
          <w:sz w:val="36"/>
          <w:szCs w:val="36"/>
        </w:rPr>
        <w:lastRenderedPageBreak/>
        <w:t>сооружениях, используемых для предпринимательской деятельности.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- оплата услуг по ремонту техники, оборудования и транспортных средств, используемых в производственном процессе.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 xml:space="preserve">18.3. Срок предоставления </w:t>
      </w:r>
      <w:proofErr w:type="spellStart"/>
      <w:r>
        <w:rPr>
          <w:color w:val="333333"/>
          <w:sz w:val="36"/>
          <w:szCs w:val="36"/>
        </w:rPr>
        <w:t>Микрозайма</w:t>
      </w:r>
      <w:proofErr w:type="spellEnd"/>
      <w:r>
        <w:rPr>
          <w:color w:val="333333"/>
          <w:sz w:val="36"/>
          <w:szCs w:val="36"/>
        </w:rPr>
        <w:t>: от 3 (трех) до 24 (двадцати четырех) месяцев включительно с даты перечисления денежных средств на расчетный счет Заемщика.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При введении на всей территории Российской Федерации, территории субъекта Российской Федерации или муниципального образования режима повышенной готовности или режима чрезвычайной ситуации в соответствии с Федеральным законом от 21.12.1994г. №68-ФЗ «О защите населения и территорий от чрезвычайных ситуаций природного и техногенного характера»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 xml:space="preserve">максимальный срок предоставления </w:t>
      </w:r>
      <w:proofErr w:type="spellStart"/>
      <w:r>
        <w:rPr>
          <w:color w:val="333333"/>
          <w:sz w:val="36"/>
          <w:szCs w:val="36"/>
        </w:rPr>
        <w:t>микрозайма</w:t>
      </w:r>
      <w:proofErr w:type="spellEnd"/>
      <w:r>
        <w:rPr>
          <w:color w:val="333333"/>
          <w:sz w:val="36"/>
          <w:szCs w:val="36"/>
        </w:rPr>
        <w:t xml:space="preserve"> для субъектов малого и среднего предпринимательства, осуществляющих деятельность на указанных территориях, по действующим на момент введения одного из указанных режимов </w:t>
      </w:r>
      <w:proofErr w:type="spellStart"/>
      <w:r>
        <w:rPr>
          <w:color w:val="333333"/>
          <w:sz w:val="36"/>
          <w:szCs w:val="36"/>
        </w:rPr>
        <w:t>микрозаймам</w:t>
      </w:r>
      <w:proofErr w:type="spellEnd"/>
      <w:r>
        <w:rPr>
          <w:color w:val="333333"/>
          <w:sz w:val="36"/>
          <w:szCs w:val="36"/>
        </w:rPr>
        <w:t xml:space="preserve"> может быть увеличен и не должен превышать 5 (пять) лет.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 xml:space="preserve">18.4. Сумма </w:t>
      </w:r>
      <w:proofErr w:type="spellStart"/>
      <w:r>
        <w:rPr>
          <w:color w:val="333333"/>
          <w:sz w:val="36"/>
          <w:szCs w:val="36"/>
        </w:rPr>
        <w:t>Микрозайма</w:t>
      </w:r>
      <w:proofErr w:type="spellEnd"/>
      <w:r>
        <w:rPr>
          <w:color w:val="333333"/>
          <w:sz w:val="36"/>
          <w:szCs w:val="36"/>
        </w:rPr>
        <w:t>: от 100 000 (ста тысяч) рублей до 5 000 000 (пяти миллионов) рублей включительно.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 xml:space="preserve">18.5. Процентная ставка по </w:t>
      </w:r>
      <w:proofErr w:type="spellStart"/>
      <w:r>
        <w:rPr>
          <w:color w:val="333333"/>
          <w:sz w:val="36"/>
          <w:szCs w:val="36"/>
        </w:rPr>
        <w:t>Микрозайму</w:t>
      </w:r>
      <w:proofErr w:type="spellEnd"/>
      <w:r>
        <w:rPr>
          <w:color w:val="333333"/>
          <w:sz w:val="36"/>
          <w:szCs w:val="36"/>
        </w:rPr>
        <w:t xml:space="preserve"> равна ключевой ставке Банка России, действующей на дату регистрации заявления на предоставление </w:t>
      </w:r>
      <w:proofErr w:type="spellStart"/>
      <w:r>
        <w:rPr>
          <w:color w:val="333333"/>
          <w:sz w:val="36"/>
          <w:szCs w:val="36"/>
        </w:rPr>
        <w:t>микрозайма</w:t>
      </w:r>
      <w:proofErr w:type="spellEnd"/>
      <w:r>
        <w:rPr>
          <w:color w:val="333333"/>
          <w:sz w:val="36"/>
          <w:szCs w:val="36"/>
        </w:rPr>
        <w:t>.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lastRenderedPageBreak/>
        <w:t xml:space="preserve">18.5.1. Процентная ставка по </w:t>
      </w:r>
      <w:proofErr w:type="spellStart"/>
      <w:r>
        <w:rPr>
          <w:color w:val="333333"/>
          <w:sz w:val="36"/>
          <w:szCs w:val="36"/>
        </w:rPr>
        <w:t>Микрозайму</w:t>
      </w:r>
      <w:proofErr w:type="spellEnd"/>
      <w:r>
        <w:rPr>
          <w:color w:val="333333"/>
          <w:sz w:val="36"/>
          <w:szCs w:val="36"/>
        </w:rPr>
        <w:t xml:space="preserve"> определяется исходя из установленной процентной ставки действующей на дату регистрации заявления на предоставление </w:t>
      </w:r>
      <w:proofErr w:type="spellStart"/>
      <w:r>
        <w:rPr>
          <w:color w:val="333333"/>
          <w:sz w:val="36"/>
          <w:szCs w:val="36"/>
        </w:rPr>
        <w:t>микрозайма</w:t>
      </w:r>
      <w:proofErr w:type="spellEnd"/>
      <w:r>
        <w:rPr>
          <w:color w:val="333333"/>
          <w:sz w:val="36"/>
          <w:szCs w:val="36"/>
        </w:rPr>
        <w:t xml:space="preserve"> редакции Видов и условий </w:t>
      </w:r>
      <w:proofErr w:type="spellStart"/>
      <w:r>
        <w:rPr>
          <w:color w:val="333333"/>
          <w:sz w:val="36"/>
          <w:szCs w:val="36"/>
        </w:rPr>
        <w:t>микрозаймов</w:t>
      </w:r>
      <w:proofErr w:type="spellEnd"/>
      <w:r>
        <w:rPr>
          <w:color w:val="333333"/>
          <w:sz w:val="36"/>
          <w:szCs w:val="36"/>
        </w:rPr>
        <w:t>. В случае, если на дату заключения договора займа, вышеуказанный размер процентной ставки превышает размер ставки рассчитанный исходя из Требований, то в данном случае применяется максимальная процентная ставка, рассчитанная исходя из Требований.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 xml:space="preserve">18.6. В графике возврата суммы и уплаты процентов по </w:t>
      </w:r>
      <w:proofErr w:type="spellStart"/>
      <w:r>
        <w:rPr>
          <w:color w:val="333333"/>
          <w:sz w:val="36"/>
          <w:szCs w:val="36"/>
        </w:rPr>
        <w:t>Микрозайму</w:t>
      </w:r>
      <w:proofErr w:type="spellEnd"/>
      <w:r>
        <w:rPr>
          <w:color w:val="333333"/>
          <w:sz w:val="36"/>
          <w:szCs w:val="36"/>
        </w:rPr>
        <w:t xml:space="preserve"> применяется </w:t>
      </w:r>
      <w:proofErr w:type="spellStart"/>
      <w:r>
        <w:rPr>
          <w:color w:val="333333"/>
          <w:sz w:val="36"/>
          <w:szCs w:val="36"/>
        </w:rPr>
        <w:t>аннуитетная</w:t>
      </w:r>
      <w:proofErr w:type="spellEnd"/>
      <w:r>
        <w:rPr>
          <w:color w:val="333333"/>
          <w:sz w:val="36"/>
          <w:szCs w:val="36"/>
        </w:rPr>
        <w:t xml:space="preserve"> система платежа.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 xml:space="preserve">18.7. Возврат </w:t>
      </w:r>
      <w:proofErr w:type="spellStart"/>
      <w:r>
        <w:rPr>
          <w:color w:val="333333"/>
          <w:sz w:val="36"/>
          <w:szCs w:val="36"/>
        </w:rPr>
        <w:t>Микрозайма</w:t>
      </w:r>
      <w:proofErr w:type="spellEnd"/>
      <w:r>
        <w:rPr>
          <w:color w:val="333333"/>
          <w:sz w:val="36"/>
          <w:szCs w:val="36"/>
        </w:rPr>
        <w:t xml:space="preserve"> осуществляется равными по сумме ежемесячными платежами, который включает в себя сумму начисленных процентов и сумму основного долга.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18.8. Срок возврата средств по Договору займа не должен превышать 24 (двадцать четыре) месяца.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При введении на всей территории Российской Федерации, территории субъекта Российской Федерации или муниципального образования режима повышенной готовности или режима чрезвычайной ситуации в соответствии с Федеральным законом от 21.12.1994г. №68-ФЗ «О защите населения и территорий от чрезвычайных ситуаций природного и техногенного характера»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 xml:space="preserve">максимальный срок предоставления </w:t>
      </w:r>
      <w:proofErr w:type="spellStart"/>
      <w:r>
        <w:rPr>
          <w:color w:val="333333"/>
          <w:sz w:val="36"/>
          <w:szCs w:val="36"/>
        </w:rPr>
        <w:t>микрозайма</w:t>
      </w:r>
      <w:proofErr w:type="spellEnd"/>
      <w:r>
        <w:rPr>
          <w:color w:val="333333"/>
          <w:sz w:val="36"/>
          <w:szCs w:val="36"/>
        </w:rPr>
        <w:t xml:space="preserve"> для субъектов малого и среднего предпринимательства, осуществляющих деятельность на указанных территориях, по действующим на момент введения одного из указанных режимов </w:t>
      </w:r>
      <w:proofErr w:type="spellStart"/>
      <w:r>
        <w:rPr>
          <w:color w:val="333333"/>
          <w:sz w:val="36"/>
          <w:szCs w:val="36"/>
        </w:rPr>
        <w:t>микрозаймам</w:t>
      </w:r>
      <w:proofErr w:type="spellEnd"/>
      <w:r>
        <w:rPr>
          <w:color w:val="333333"/>
          <w:sz w:val="36"/>
          <w:szCs w:val="36"/>
        </w:rPr>
        <w:t xml:space="preserve"> может быть увеличен и не должен превышать 5 (пять) лет.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lastRenderedPageBreak/>
        <w:t xml:space="preserve">18.9. Уплата процентов за пользование </w:t>
      </w:r>
      <w:proofErr w:type="spellStart"/>
      <w:r>
        <w:rPr>
          <w:color w:val="333333"/>
          <w:sz w:val="36"/>
          <w:szCs w:val="36"/>
        </w:rPr>
        <w:t>Микрозаймом</w:t>
      </w:r>
      <w:proofErr w:type="spellEnd"/>
      <w:r>
        <w:rPr>
          <w:color w:val="333333"/>
          <w:sz w:val="36"/>
          <w:szCs w:val="36"/>
        </w:rPr>
        <w:t xml:space="preserve"> осуществляется ежемесячно, согласно графика (от фактической ссудной задолженности).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 xml:space="preserve">18.10. </w:t>
      </w:r>
      <w:proofErr w:type="spellStart"/>
      <w:r>
        <w:rPr>
          <w:color w:val="333333"/>
          <w:sz w:val="36"/>
          <w:szCs w:val="36"/>
        </w:rPr>
        <w:t>Микрозайм</w:t>
      </w:r>
      <w:proofErr w:type="spellEnd"/>
      <w:r>
        <w:rPr>
          <w:color w:val="333333"/>
          <w:sz w:val="36"/>
          <w:szCs w:val="36"/>
        </w:rPr>
        <w:t xml:space="preserve"> предоставляется под залог имущества Заемщика и/или третьего лица, в соответствии с разделом 9 Правил предоставления </w:t>
      </w:r>
      <w:proofErr w:type="spellStart"/>
      <w:r>
        <w:rPr>
          <w:color w:val="333333"/>
          <w:sz w:val="36"/>
          <w:szCs w:val="36"/>
        </w:rPr>
        <w:t>микрозаймов</w:t>
      </w:r>
      <w:proofErr w:type="spellEnd"/>
      <w:r>
        <w:rPr>
          <w:color w:val="333333"/>
          <w:sz w:val="36"/>
          <w:szCs w:val="36"/>
        </w:rPr>
        <w:t xml:space="preserve"> Фондом и поручительство физического и/или юридического лица в обеспечение своевременного и полного исполнения обязательств по Договору займа.</w:t>
      </w:r>
    </w:p>
    <w:p w:rsidR="00AB7D3D" w:rsidRDefault="00AB7D3D" w:rsidP="00AB7D3D">
      <w:pPr>
        <w:pStyle w:val="a3"/>
        <w:shd w:val="clear" w:color="auto" w:fill="F4F5F9"/>
        <w:spacing w:before="227" w:beforeAutospacing="0" w:after="0" w:afterAutospacing="0" w:line="448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 xml:space="preserve">В случае недостаточности залогового имущества, возможно привлечение поручительства Фонда развития бизнеса, согласно разделу 9 Правил предоставления </w:t>
      </w:r>
      <w:proofErr w:type="spellStart"/>
      <w:r>
        <w:rPr>
          <w:color w:val="333333"/>
          <w:sz w:val="36"/>
          <w:szCs w:val="36"/>
        </w:rPr>
        <w:t>микрозаймов</w:t>
      </w:r>
      <w:proofErr w:type="spellEnd"/>
      <w:r>
        <w:rPr>
          <w:color w:val="333333"/>
          <w:sz w:val="36"/>
          <w:szCs w:val="36"/>
        </w:rPr>
        <w:t xml:space="preserve"> Фондом. В целях обеспечения своевременного и полного исполнения обязательств по Договору займа допускается привлечение нескольких поручителей (физических и/или юридических лиц).</w:t>
      </w:r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6"/>
  </w:num>
  <w:num w:numId="4">
    <w:abstractNumId w:val="13"/>
  </w:num>
  <w:num w:numId="5">
    <w:abstractNumId w:val="8"/>
  </w:num>
  <w:num w:numId="6">
    <w:abstractNumId w:val="14"/>
  </w:num>
  <w:num w:numId="7">
    <w:abstractNumId w:val="5"/>
  </w:num>
  <w:num w:numId="8">
    <w:abstractNumId w:val="6"/>
  </w:num>
  <w:num w:numId="9">
    <w:abstractNumId w:val="17"/>
  </w:num>
  <w:num w:numId="10">
    <w:abstractNumId w:val="10"/>
  </w:num>
  <w:num w:numId="11">
    <w:abstractNumId w:val="18"/>
  </w:num>
  <w:num w:numId="12">
    <w:abstractNumId w:val="15"/>
  </w:num>
  <w:num w:numId="13">
    <w:abstractNumId w:val="2"/>
  </w:num>
  <w:num w:numId="14">
    <w:abstractNumId w:val="11"/>
  </w:num>
  <w:num w:numId="15">
    <w:abstractNumId w:val="1"/>
  </w:num>
  <w:num w:numId="16">
    <w:abstractNumId w:val="12"/>
  </w:num>
  <w:num w:numId="17">
    <w:abstractNumId w:val="4"/>
  </w:num>
  <w:num w:numId="18">
    <w:abstractNumId w:val="9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C3F7B"/>
    <w:rsid w:val="005D702E"/>
    <w:rsid w:val="006F7F32"/>
    <w:rsid w:val="00726E62"/>
    <w:rsid w:val="00746C02"/>
    <w:rsid w:val="0081440F"/>
    <w:rsid w:val="00871425"/>
    <w:rsid w:val="008A140B"/>
    <w:rsid w:val="008B2954"/>
    <w:rsid w:val="0092405E"/>
    <w:rsid w:val="00960463"/>
    <w:rsid w:val="00A23343"/>
    <w:rsid w:val="00AB0B45"/>
    <w:rsid w:val="00AB74BC"/>
    <w:rsid w:val="00AB7D3D"/>
    <w:rsid w:val="00AD1C6B"/>
    <w:rsid w:val="00B90D3F"/>
    <w:rsid w:val="00D1210C"/>
    <w:rsid w:val="00D15469"/>
    <w:rsid w:val="00D97AB2"/>
    <w:rsid w:val="00DA09B5"/>
    <w:rsid w:val="00DA560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mkk.ru/types/claim.php" TargetMode="External"/><Relationship Id="rId5" Type="http://schemas.openxmlformats.org/officeDocument/2006/relationships/hyperlink" Target="https://fmkk.ru/calc/?zaim=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1162</Words>
  <Characters>6630</Characters>
  <Application>Microsoft Office Word</Application>
  <DocSecurity>0</DocSecurity>
  <Lines>55</Lines>
  <Paragraphs>15</Paragraphs>
  <ScaleCrop>false</ScaleCrop>
  <Company>diakov.net</Company>
  <LinksUpToDate>false</LinksUpToDate>
  <CharactersWithSpaces>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32</cp:revision>
  <dcterms:created xsi:type="dcterms:W3CDTF">2024-11-19T07:51:00Z</dcterms:created>
  <dcterms:modified xsi:type="dcterms:W3CDTF">2024-11-19T08:25:00Z</dcterms:modified>
</cp:coreProperties>
</file>