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F7B" w:rsidRDefault="005C3F7B" w:rsidP="005C3F7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РЕАЛИЗАЦИЯ МЕР ПОДДЕРЖКИ ПОСТРАДАВШИХ ОТРАСЛЕЙ И СУБЪЕКТОВ МАЛОГО И СРЕДНЕГО БИЗНЕСА</w:t>
      </w:r>
    </w:p>
    <w:p w:rsidR="005C3F7B" w:rsidRDefault="005C3F7B" w:rsidP="005C3F7B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ДЛЯ СУБЪЕКТОВ МСП</w:t>
      </w:r>
      <w:r>
        <w:rPr>
          <w:rFonts w:ascii="Helvetica" w:hAnsi="Helvetica" w:cs="Helvetica"/>
          <w:color w:val="333333"/>
          <w:sz w:val="21"/>
          <w:szCs w:val="21"/>
        </w:rPr>
        <w:t xml:space="preserve"> ПРЕДОСТАВЛЯЮТСЯ МЕРЫ Поддержки на основании Постановления Правительства Российской Федерации от 2 апреля 2020 г. № 409, протокола заседания правительственной комиссии по повышению устойчивости развития российской экономики от 25 марта 2020г. №4кв (список отдельных сфер деятельности, наиболее пострадавших в связи ухудшения ситуации в связи с распространением новой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коронавирусной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инфекции, для оказания первоочередной адресной поддержки).</w:t>
      </w:r>
    </w:p>
    <w:p w:rsidR="005C3F7B" w:rsidRDefault="005C3F7B" w:rsidP="005C3F7B">
      <w:pPr>
        <w:numPr>
          <w:ilvl w:val="1"/>
          <w:numId w:val="8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Соответствие сферы деятельности</w:t>
      </w:r>
    </w:p>
    <w:tbl>
      <w:tblPr>
        <w:tblW w:w="102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8"/>
        <w:gridCol w:w="5852"/>
      </w:tblGrid>
      <w:tr w:rsidR="005C3F7B" w:rsidTr="005C3F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Сфера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ОКВЭД 2</w:t>
            </w:r>
          </w:p>
        </w:tc>
      </w:tr>
      <w:tr w:rsidR="005C3F7B" w:rsidTr="005C3F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Авиаперевозки, аэропортовая деятельность, автоперевозки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49.3, 49.4,51.1,51.21,52.23.1,52.23.11,52.23.12,52.23.13,52.23.19</w:t>
            </w:r>
          </w:p>
        </w:tc>
      </w:tr>
      <w:tr w:rsidR="005C3F7B" w:rsidTr="005C3F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Культура, организация досуга и развлечений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90</w:t>
            </w:r>
          </w:p>
        </w:tc>
      </w:tr>
      <w:tr w:rsidR="005C3F7B" w:rsidTr="005C3F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Физкультурно-оздоровительная деятельность и спорт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93,96.04,86.90.4</w:t>
            </w:r>
          </w:p>
        </w:tc>
      </w:tr>
      <w:tr w:rsidR="005C3F7B" w:rsidTr="005C3F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Деятельность туристических агентств и прочих организация, предоставляющих услуги в сфере туризма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79</w:t>
            </w:r>
          </w:p>
        </w:tc>
      </w:tr>
      <w:tr w:rsidR="005C3F7B" w:rsidTr="005C3F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Гостиничный бизнес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55</w:t>
            </w:r>
          </w:p>
        </w:tc>
      </w:tr>
      <w:tr w:rsidR="005C3F7B" w:rsidTr="005C3F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Общественное питание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56</w:t>
            </w:r>
          </w:p>
        </w:tc>
      </w:tr>
      <w:tr w:rsidR="005C3F7B" w:rsidTr="005C3F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Деятельность организаций дополнительного образования, негосударственных образовательных учреждений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85.41,88.91</w:t>
            </w:r>
          </w:p>
        </w:tc>
      </w:tr>
      <w:tr w:rsidR="005C3F7B" w:rsidTr="005C3F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Деятельность по организации конференций и выставок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82.3</w:t>
            </w:r>
          </w:p>
        </w:tc>
      </w:tr>
      <w:tr w:rsidR="005C3F7B" w:rsidTr="005C3F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Деятельность по предоставлению бытовых услуг населению (ремонт, стирка, химчистка, услуги парикмахерских и салонов красоты)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95,96.01,96.02</w:t>
            </w:r>
          </w:p>
        </w:tc>
      </w:tr>
    </w:tbl>
    <w:p w:rsidR="005C3F7B" w:rsidRDefault="005C3F7B" w:rsidP="005C3F7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1.2. Субъект должен быть внесен в </w:t>
      </w:r>
      <w:hyperlink r:id="rId5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единый реестр субъектов малого и среднего предпринимательства</w:t>
        </w:r>
      </w:hyperlink>
      <w:r>
        <w:rPr>
          <w:rFonts w:ascii="Helvetica" w:hAnsi="Helvetica" w:cs="Helvetica"/>
          <w:color w:val="333333"/>
          <w:sz w:val="21"/>
          <w:szCs w:val="21"/>
        </w:rPr>
        <w:t> (</w:t>
      </w:r>
      <w:hyperlink r:id="rId6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https://rmsp.nalog.ru/</w:t>
        </w:r>
      </w:hyperlink>
      <w:r>
        <w:rPr>
          <w:rFonts w:ascii="Helvetica" w:hAnsi="Helvetica" w:cs="Helvetica"/>
          <w:color w:val="333333"/>
          <w:sz w:val="21"/>
          <w:szCs w:val="21"/>
        </w:rPr>
        <w:t>, </w:t>
      </w:r>
      <w:hyperlink r:id="rId7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https://www.nalog.ru/</w:t>
        </w:r>
      </w:hyperlink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5C3F7B" w:rsidRDefault="005C3F7B" w:rsidP="005C3F7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1.3. Налогоплательщикам не требуется дополнительно подавать заявления</w:t>
      </w:r>
    </w:p>
    <w:p w:rsidR="005C3F7B" w:rsidRDefault="005C3F7B" w:rsidP="005C3F7B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ДЛЯ КРУПНЫХ ПРЕДПРИЯТИЙ</w:t>
      </w:r>
      <w:r>
        <w:rPr>
          <w:rFonts w:ascii="Helvetica" w:hAnsi="Helvetica" w:cs="Helvetica"/>
          <w:color w:val="333333"/>
          <w:sz w:val="21"/>
          <w:szCs w:val="21"/>
        </w:rPr>
        <w:t> (одно из условий за предшествующий календарный год: выручка более 2 млрд. рублей и (или) среднесписочная численность работников превышает 250 человек) ПРЕДОСТАВЛЯЮТСЯ МЕРЫ Поддержки на основании Постановления главы администрации (Губернатора) Краснодарского края от 8 апреля 2020 г. № 202 (по перечню организаций).</w:t>
      </w:r>
    </w:p>
    <w:p w:rsidR="005C3F7B" w:rsidRDefault="005C3F7B" w:rsidP="005C3F7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2.1. Меры не распространяются на предприятия в стадии ликвидации/банкротства</w:t>
      </w:r>
    </w:p>
    <w:tbl>
      <w:tblPr>
        <w:tblW w:w="99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1"/>
        <w:gridCol w:w="5229"/>
      </w:tblGrid>
      <w:tr w:rsidR="005C3F7B" w:rsidTr="005C3F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lastRenderedPageBreak/>
              <w:t>ПЕРЕНОС СРОКОВ УПЛАТЫ НАЛОГОВ И СТРАХОВЫХ ВЗНОСОВ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СУБЪЕКТЫ МСП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                                                                 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(ДЛЯ ОРГАНИЗАЦИЙ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И ИНДИВИДУАЛЬНЫХ ПРЕДПРИНИМАТЕЛЕЙ)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  <w:u w:val="single"/>
              </w:rPr>
              <w:t>Налог на прибыль, УСН, ЕСХН</w:t>
            </w: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: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- за 2019 год на 6 месяцев;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- налоги (авансовые платежи по налогам) за март и 1 квартал 2020 года на 6 месяцев (Исключения: НДС, НПД, НДФЛ, уплачиваемые через налогового агента. Для них срок не переносится).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  <w:u w:val="single"/>
              </w:rPr>
              <w:t>Налог по патентной системе налогообложения</w:t>
            </w: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: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- срок уплаты которого приходится - на 2 квартал 2020 года - на 4 месяца;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- Налог (авансовый платеж по налогу) за апрель-июнь, полугодие (2 квартал) 2020 года - на 4 месяца (Исключения: НДС и НДФЛ, уплачиваемые через налогового агента. Для них срок не переносится)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  <w:u w:val="single"/>
              </w:rPr>
              <w:lastRenderedPageBreak/>
              <w:t>НДФЛ для ИП</w:t>
            </w: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 за 2019 год со сроком уплаты до 15 июля 2020 года - на 3 месяца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Авансовый платеж </w:t>
            </w: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  <w:u w:val="single"/>
              </w:rPr>
              <w:t>по транспортному налогу</w:t>
            </w: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, </w:t>
            </w: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  <w:u w:val="single"/>
              </w:rPr>
              <w:t>налогу на имущество организаций и земельному налогу: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  <w:u w:val="single"/>
              </w:rPr>
              <w:t>-</w:t>
            </w: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 за первый квартал 2020 года - до 30 октября 2020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- за второй квартал 2020 года - до 30 декабря 2020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 </w:t>
            </w:r>
          </w:p>
        </w:tc>
      </w:tr>
      <w:tr w:rsidR="005C3F7B" w:rsidTr="005C3F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lastRenderedPageBreak/>
              <w:t>ПЕРЕНОС СРОКОВ УПЛАТЫ НАЛОГОВ И СТРАХОВЫХ ВЗНОСОВ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КРУПНЫЙ БИЗНЕС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(ДЛЯ ОРГАНИЗАЦИЙ И ИНДИВИДУАЛЬНЫХ ПРЕДПРИНИМАТЕЛЕЙ)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●        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u w:val="single"/>
              </w:rPr>
              <w:t>1) За 2019 год перенесен срок оплаты на 15 октября 2020</w:t>
            </w: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: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●        Налог на имущество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Налог, предусмотренный специальным налоговым режимом (</w:t>
            </w:r>
            <w:hyperlink r:id="rId8" w:anchor="dst103572" w:history="1">
              <w:r>
                <w:rPr>
                  <w:rStyle w:val="a4"/>
                  <w:rFonts w:ascii="Helvetica" w:hAnsi="Helvetica" w:cs="Helvetica"/>
                  <w:color w:val="337AB7"/>
                  <w:sz w:val="21"/>
                  <w:szCs w:val="21"/>
                </w:rPr>
                <w:t>упрощенная система налогообложения</w:t>
              </w:r>
            </w:hyperlink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)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u w:val="single"/>
              </w:rPr>
              <w:t>За 1 квартал 2020 года перенесен срок оплаты на 15 ноября</w:t>
            </w: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: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●        Налог на имущество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●        Транспортный налог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●        Земельный налог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Налоги, предусмотренные специальными налоговыми режимами (</w:t>
            </w:r>
            <w:hyperlink r:id="rId9" w:anchor="dst103572" w:history="1">
              <w:r>
                <w:rPr>
                  <w:rStyle w:val="a4"/>
                  <w:rFonts w:ascii="Helvetica" w:hAnsi="Helvetica" w:cs="Helvetica"/>
                  <w:color w:val="337AB7"/>
                  <w:sz w:val="21"/>
                  <w:szCs w:val="21"/>
                </w:rPr>
                <w:t>упрощенная система налогообложения</w:t>
              </w:r>
            </w:hyperlink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; система налогообложения в виде </w:t>
            </w:r>
            <w:hyperlink r:id="rId10" w:anchor="dst103723" w:history="1">
              <w:r>
                <w:rPr>
                  <w:rStyle w:val="a4"/>
                  <w:rFonts w:ascii="Helvetica" w:hAnsi="Helvetica" w:cs="Helvetica"/>
                  <w:color w:val="337AB7"/>
                  <w:sz w:val="21"/>
                  <w:szCs w:val="21"/>
                </w:rPr>
                <w:t>единого налога на вмененный доход</w:t>
              </w:r>
            </w:hyperlink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 для отдельных видов деятельности).</w:t>
            </w:r>
          </w:p>
        </w:tc>
      </w:tr>
      <w:tr w:rsidR="005C3F7B" w:rsidTr="005C3F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lastRenderedPageBreak/>
              <w:t>ПЕРЕНОС СРОКОВ СДАЧИ ОТЧЕТНОСТИ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Налоговые декларации по НДС за 1 квартал 2020 года - до 15 мая 2020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 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Расчеты по страховым взносам за 1 квартал 2020 года - до 15 мая 2020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 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Отчетность, которая должна быть сдана с марта по май 2020 года - на 3 месяца: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 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- все налоговые декларации и расчеты по авансовым платежам (кроме НДС и расчетов по страховым взносам),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- расчеты сумм НДФЛ (форма 6-НДФЛ),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 xml:space="preserve">налоговые расчеты </w:t>
            </w:r>
            <w:proofErr w:type="gramStart"/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о суммах</w:t>
            </w:r>
            <w:proofErr w:type="gramEnd"/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 xml:space="preserve"> выплаченных иностранным организациям доходов и удержанных налогов,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lastRenderedPageBreak/>
              <w:t>- бухгалтерская (финансовая) отчетность (для налогоплательщиков, сдающих годовую бухгалтерскую (финансовую) отчётность в соответствии с пп.5.1 п.1 ст.23 НК РФ).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 </w:t>
            </w:r>
          </w:p>
        </w:tc>
      </w:tr>
      <w:tr w:rsidR="005C3F7B" w:rsidTr="005C3F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lastRenderedPageBreak/>
              <w:t>ПРИОСТАНОВЛЕНИЕ ПРОВЕРОК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До 1 мая 2020 года ФНС России </w:t>
            </w:r>
            <w:hyperlink r:id="rId11" w:history="1">
              <w:r>
                <w:rPr>
                  <w:rStyle w:val="a4"/>
                  <w:rFonts w:ascii="Helvetica" w:hAnsi="Helvetica" w:cs="Helvetica"/>
                  <w:color w:val="337AB7"/>
                  <w:sz w:val="21"/>
                  <w:szCs w:val="21"/>
                </w:rPr>
                <w:t>приостанавливает </w:t>
              </w:r>
            </w:hyperlink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назначение выездных налоговых проверок.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Откладываются проверки пользователей онлайн-касс, а также контрольные мероприятия по соблюдению требований валютного законодательства и вопросам </w:t>
            </w:r>
            <w:proofErr w:type="spellStart"/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госрегулируемых</w:t>
            </w:r>
            <w:proofErr w:type="spellEnd"/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 видов деятельности в области азартных игр и лотерей в отношении всех категорий налогоплательщиков, в том числе малого и среднего бизнеса. 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Выездные проверки, начатые ранее, также приостановлены. Незавершенные проверки применения ККТ и валютного законодательства, а также незаконченное производство по делам об административных правонарушениях будет осуществляться без непосредственного контакта с налогоплательщиками - по телекоммуникационным каналам связи, через личный кабинет налогоплательщика, по почте.</w:t>
            </w:r>
          </w:p>
        </w:tc>
      </w:tr>
      <w:tr w:rsidR="005C3F7B" w:rsidTr="005C3F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УРЕГУЛИРОВАНИЕ И ОТСРОЧКА БАНКРОТСТВА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Во исполнение поручения Правительства ФНС России с 16 марта полностью приостановила подачу заявлений о банкротстве до реализации поручений Президента Российской Федерации и Правительства Российской Федерации о введении моратория на банкротство.</w:t>
            </w:r>
          </w:p>
        </w:tc>
      </w:tr>
      <w:tr w:rsidR="005C3F7B" w:rsidTr="005C3F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ПРИОСТАНОВЛЕНИЕ МЕР ВЗЫСКАНИЯ</w:t>
            </w:r>
          </w:p>
          <w:p w:rsidR="005C3F7B" w:rsidRDefault="005C3F7B">
            <w:pPr>
              <w:pStyle w:val="2"/>
              <w:spacing w:before="150" w:after="150"/>
              <w:rPr>
                <w:rFonts w:ascii="inherit" w:hAnsi="inherit" w:cs="Helvetica"/>
                <w:color w:val="333333"/>
                <w:sz w:val="33"/>
                <w:szCs w:val="33"/>
              </w:rPr>
            </w:pPr>
            <w:r>
              <w:rPr>
                <w:rFonts w:ascii="inherit" w:hAnsi="inherit" w:cs="Helvetica"/>
                <w:b/>
                <w:bCs/>
                <w:color w:val="333333"/>
                <w:sz w:val="33"/>
                <w:szCs w:val="33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Применение мер взыскания приостанавливается до 1 мая 2020 года: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●                    для налогоплательщиков, сведения о которых внесены в единый реестр субъектов малого и среднего предпринимательства;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●                    для налогоплательщиков, относящихся к отраслям туризма и авиаперевозок;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lastRenderedPageBreak/>
              <w:t>●                    для субъектов предпринимательства, работающих в сферах физической культуры, спорта, искусства, культуры и кинематографии. 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Для субъектов МСП также откладывается принятие решений о приостановлении операций по их счетам для обеспечения взыскания задолженности.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Указанные меры Налоговая служба применит самостоятельно. Налогоплательщикам не требуется дополнительно подавать заявления.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Меры взыскания приостанавливаются с 25 марта 2020 года. Решения, принятые ранее, отозваны не будут. Суммы задолженности, которые взысканы до этой даты относятся к периодам 2019 года.</w:t>
            </w:r>
          </w:p>
        </w:tc>
      </w:tr>
      <w:tr w:rsidR="005C3F7B" w:rsidTr="005C3F7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lastRenderedPageBreak/>
              <w:t>Со списками организаций и с ответами на актуальные вопросы налогоплательщиков можно ознакомиться </w:t>
            </w:r>
            <w:hyperlink r:id="rId12" w:history="1">
              <w:r>
                <w:rPr>
                  <w:rStyle w:val="a4"/>
                  <w:rFonts w:ascii="Helvetica" w:hAnsi="Helvetica" w:cs="Helvetica"/>
                  <w:color w:val="337AB7"/>
                  <w:sz w:val="21"/>
                  <w:szCs w:val="21"/>
                </w:rPr>
                <w:t>в специальной рубрике </w:t>
              </w:r>
            </w:hyperlink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раздела «Задолженность» на сайте ФНС России.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Подробнее на сайте </w:t>
            </w:r>
            <w:hyperlink r:id="rId13" w:anchor="t15" w:history="1">
              <w:r>
                <w:rPr>
                  <w:rStyle w:val="a4"/>
                  <w:rFonts w:ascii="Helvetica" w:hAnsi="Helvetica" w:cs="Helvetica"/>
                  <w:color w:val="337AB7"/>
                  <w:sz w:val="21"/>
                  <w:szCs w:val="21"/>
                </w:rPr>
                <w:t>https://www.nalog.ru/rn23/business-support-2020/#t15</w:t>
              </w:r>
            </w:hyperlink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, а также в территориальном налоговом органе по месту учета, </w:t>
            </w:r>
            <w:r>
              <w:rPr>
                <w:rStyle w:val="a5"/>
                <w:rFonts w:ascii="Helvetica" w:hAnsi="Helvetica" w:cs="Helvetica"/>
                <w:color w:val="333333"/>
                <w:sz w:val="21"/>
                <w:szCs w:val="21"/>
              </w:rPr>
              <w:t>и по телефону горячей линии ФНС России 8-800-222-22-22.</w:t>
            </w:r>
          </w:p>
          <w:p w:rsidR="005C3F7B" w:rsidRDefault="005C3F7B">
            <w:pPr>
              <w:pStyle w:val="a3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5"/>
                <w:rFonts w:ascii="Helvetica" w:hAnsi="Helvetica" w:cs="Helvetica"/>
                <w:color w:val="333333"/>
                <w:sz w:val="21"/>
                <w:szCs w:val="21"/>
              </w:rPr>
              <w:t> </w:t>
            </w:r>
          </w:p>
        </w:tc>
      </w:tr>
    </w:tbl>
    <w:p w:rsidR="003E0016" w:rsidRPr="0081440F" w:rsidRDefault="003E0016" w:rsidP="0081440F">
      <w:bookmarkStart w:id="0" w:name="_GoBack"/>
      <w:bookmarkEnd w:id="0"/>
    </w:p>
    <w:sectPr w:rsidR="003E0016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1E7629"/>
    <w:rsid w:val="00215A60"/>
    <w:rsid w:val="002F0DE3"/>
    <w:rsid w:val="002F4EC6"/>
    <w:rsid w:val="00317447"/>
    <w:rsid w:val="003E0016"/>
    <w:rsid w:val="00490E26"/>
    <w:rsid w:val="005C3F7B"/>
    <w:rsid w:val="005D702E"/>
    <w:rsid w:val="00746C02"/>
    <w:rsid w:val="0081440F"/>
    <w:rsid w:val="00871425"/>
    <w:rsid w:val="008A140B"/>
    <w:rsid w:val="00AB0B45"/>
    <w:rsid w:val="00AB74BC"/>
    <w:rsid w:val="00AD1C6B"/>
    <w:rsid w:val="00B90D3F"/>
    <w:rsid w:val="00D1210C"/>
    <w:rsid w:val="00DA09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34736/d29da7b903e5cc351ee08a2f10414ccee3c12bad/" TargetMode="External"/><Relationship Id="rId13" Type="http://schemas.openxmlformats.org/officeDocument/2006/relationships/hyperlink" Target="https://www.nalog.ru/rn23/business-support-202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log.ru/" TargetMode="External"/><Relationship Id="rId12" Type="http://schemas.openxmlformats.org/officeDocument/2006/relationships/hyperlink" Target="https://www.nalog.ru/rn23/taxation/debt/nco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msp.nalog.ru/" TargetMode="External"/><Relationship Id="rId11" Type="http://schemas.openxmlformats.org/officeDocument/2006/relationships/hyperlink" Target="https://www.nalog.ru/rn23/about_fts/docs_fts/9685945/" TargetMode="External"/><Relationship Id="rId5" Type="http://schemas.openxmlformats.org/officeDocument/2006/relationships/hyperlink" Target="https://rmsp.nalog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consultant.ru/document/cons_doc_LAW_334736/4209f933e6fb42facd46fa1dda1da80f6d85dc8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34736/d29da7b903e5cc351ee08a2f10414ccee3c12bad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1083</Words>
  <Characters>6174</Characters>
  <Application>Microsoft Office Word</Application>
  <DocSecurity>0</DocSecurity>
  <Lines>51</Lines>
  <Paragraphs>14</Paragraphs>
  <ScaleCrop>false</ScaleCrop>
  <Company>diakov.net</Company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</cp:revision>
  <dcterms:created xsi:type="dcterms:W3CDTF">2024-11-19T07:51:00Z</dcterms:created>
  <dcterms:modified xsi:type="dcterms:W3CDTF">2024-11-19T08:11:00Z</dcterms:modified>
</cp:coreProperties>
</file>